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F04F1">
      <w:pPr>
        <w:widowControl/>
        <w:spacing w:line="560" w:lineRule="exact"/>
        <w:jc w:val="left"/>
        <w:rPr>
          <w:rFonts w:hint="default" w:ascii="Times New Roman" w:hAnsi="Times New Roman" w:eastAsia="仿宋_GB2312" w:cs="Times New Roman"/>
          <w:color w:val="000000"/>
          <w:kern w:val="0"/>
          <w:sz w:val="32"/>
          <w:szCs w:val="32"/>
          <w:lang w:val="en-US" w:eastAsia="zh-CN"/>
        </w:rPr>
      </w:pPr>
      <w:bookmarkStart w:id="0" w:name="_GoBack"/>
      <w:bookmarkEnd w:id="0"/>
      <w:r>
        <w:rPr>
          <w:rFonts w:hint="default" w:ascii="Times New Roman" w:hAnsi="Times New Roman" w:eastAsia="仿宋_GB2312" w:cs="Times New Roman"/>
          <w:color w:val="000000"/>
          <w:kern w:val="0"/>
          <w:sz w:val="32"/>
          <w:szCs w:val="32"/>
          <w:lang w:val="en-US" w:eastAsia="zh-CN"/>
        </w:rPr>
        <w:t>附件2</w:t>
      </w:r>
    </w:p>
    <w:p w14:paraId="50E10729">
      <w:pPr>
        <w:widowControl/>
        <w:spacing w:line="560" w:lineRule="exact"/>
        <w:ind w:firstLine="482"/>
        <w:jc w:val="center"/>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color w:val="000000"/>
          <w:kern w:val="0"/>
          <w:sz w:val="44"/>
          <w:szCs w:val="44"/>
        </w:rPr>
        <w:t>大学生参加淄博市</w:t>
      </w:r>
    </w:p>
    <w:p w14:paraId="51E50CF4">
      <w:pPr>
        <w:widowControl/>
        <w:spacing w:line="560" w:lineRule="exact"/>
        <w:ind w:firstLine="482"/>
        <w:jc w:val="center"/>
        <w:rPr>
          <w:rFonts w:hint="default" w:ascii="Times New Roman" w:hAnsi="Times New Roman" w:eastAsia="方正小标宋简体" w:cs="Times New Roman"/>
          <w:b w:val="0"/>
          <w:bCs w:val="0"/>
          <w:color w:val="000000"/>
          <w:kern w:val="0"/>
          <w:sz w:val="44"/>
          <w:szCs w:val="44"/>
          <w:lang w:eastAsia="zh-CN"/>
        </w:rPr>
      </w:pPr>
      <w:r>
        <w:rPr>
          <w:rFonts w:hint="default" w:ascii="Times New Roman" w:hAnsi="Times New Roman" w:eastAsia="方正小标宋简体" w:cs="Times New Roman"/>
          <w:b w:val="0"/>
          <w:bCs w:val="0"/>
          <w:color w:val="000000"/>
          <w:kern w:val="0"/>
          <w:sz w:val="44"/>
          <w:szCs w:val="44"/>
        </w:rPr>
        <w:t>城乡居民基本医疗保险</w:t>
      </w:r>
      <w:r>
        <w:rPr>
          <w:rFonts w:hint="default" w:ascii="Times New Roman" w:hAnsi="Times New Roman" w:eastAsia="方正小标宋简体" w:cs="Times New Roman"/>
          <w:b w:val="0"/>
          <w:bCs w:val="0"/>
          <w:color w:val="000000"/>
          <w:kern w:val="0"/>
          <w:sz w:val="44"/>
          <w:szCs w:val="44"/>
          <w:lang w:eastAsia="zh-CN"/>
        </w:rPr>
        <w:t>待遇</w:t>
      </w:r>
    </w:p>
    <w:p w14:paraId="24DDD9CC">
      <w:pPr>
        <w:widowControl/>
        <w:spacing w:line="560" w:lineRule="exact"/>
        <w:ind w:firstLine="482"/>
        <w:jc w:val="center"/>
        <w:rPr>
          <w:rFonts w:hint="default" w:ascii="Times New Roman" w:hAnsi="Times New Roman" w:eastAsia="方正小标宋简体" w:cs="Times New Roman"/>
          <w:b w:val="0"/>
          <w:bCs w:val="0"/>
          <w:color w:val="000000"/>
          <w:kern w:val="0"/>
          <w:sz w:val="44"/>
          <w:szCs w:val="44"/>
          <w:lang w:val="en-US" w:eastAsia="zh-CN"/>
        </w:rPr>
      </w:pPr>
    </w:p>
    <w:p w14:paraId="5F1D1BFF">
      <w:pPr>
        <w:widowControl/>
        <w:spacing w:line="560" w:lineRule="exact"/>
        <w:ind w:firstLine="640" w:firstLineChars="200"/>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一、基本医疗保险</w:t>
      </w:r>
    </w:p>
    <w:p w14:paraId="6BBF428E">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城乡居民基本医疗保险待遇包括住院医疗待遇、门诊医疗待遇。在一个年度内，基本医疗保险基金最高支付限额为20万元。</w:t>
      </w:r>
    </w:p>
    <w:p w14:paraId="06A62FFF">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1.住院医疗待遇：</w:t>
      </w:r>
    </w:p>
    <w:p w14:paraId="790C513B">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学生在本年度首次住院的，医疗费用起付标准为100元。</w:t>
      </w:r>
    </w:p>
    <w:p w14:paraId="7BE6CDAA">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在一个年度内第二次住院的，起付标准减半，第三次住院的，取消起付线。</w:t>
      </w:r>
    </w:p>
    <w:p w14:paraId="77949EDA">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起付标准以上至最高支付限额之间符合政策规定的住院医疗费用，实行基本药物制度的一级医院（实行基本药物目录）报销比例为 85% ，其他一级医院报销比例为 75% ，二级医院报销比例为 70% ，三级医院报销比例为 60% 。</w:t>
      </w:r>
    </w:p>
    <w:p w14:paraId="7B540C3F">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2.普通门诊统筹医疗待遇：</w:t>
      </w:r>
    </w:p>
    <w:p w14:paraId="25AD59FC">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在签约门诊发生的门诊费用可以报销。在一个年度内，医疗费用起付标准为50元，参保人本年度内门诊统筹基金最高支付限额为1000元，起付标准以上至最高支付限额之间符合政策规定的普通门诊统筹医疗费用报销比例为50％。</w:t>
      </w:r>
    </w:p>
    <w:p w14:paraId="5ADB76E5">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3.意外伤害门诊医疗待遇：</w:t>
      </w:r>
    </w:p>
    <w:p w14:paraId="173F1ADD">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学生因意外伤害发生的符合政策规定的门诊医疗费用，按照门诊统筹规定支付，最高支付限额5000元。</w:t>
      </w:r>
    </w:p>
    <w:p w14:paraId="322D6A9D">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4.门诊慢特病医疗待遇：</w:t>
      </w:r>
    </w:p>
    <w:p w14:paraId="2182D5F6">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经确认患有1.恶性肿瘤（包括白血病）；2.尿毒症；3.脏器官移植；4.糖尿病（合并感染或有心、肾、眼、神经并发症之一者）；5.高血压病Ⅲ期（有心、脑、肾并发症之一者）；6.类风湿病（活动期）；7.肺源性心脏病（出现右心室衰竭）；8.脑出血（包括脑梗塞）恢复期；9.慢性病毒性肝炎；10.阻塞性肺气肿；11.慢性心力衰竭；12.慢性房颤；13.冠心病；14.心肌病（原发性）；15.消化性溃疡（限职工）；16.肝硬化；17.慢性肾小球肾炎；18.肾病综合征；19.慢性肾功能衰竭；20.再生障碍性贫血；21.白细胞减少症；22.骨髓增生异常综合征；23.血小板减少性紫癜；24.甲亢性心脏病（限职工）；25.甲状腺功能减退症（限职工）；26.皮质醇增多症；27.原发性醛固酮增多症；28.原发性慢性肾上腺皮质功能减退症；29.系统性红斑狼疮；30.系统性硬化症；31.多发性硬化；32.震颤麻痹；33.运动神经元病；34.结核；35.精神分裂症；36.分裂情感性障碍；37.偏执性精神病；38.双相（情感）障碍；39.癫痫所致精神障碍；40.精神发育迟滞；41.癫痫；42.血友病；43.重症肌无力；44.白塞氏病；45.苯丙酮尿症；46.肺间质纤维化；47.强直性脊柱炎；48.干燥综合症；49.肺动脉高压；50.阿尔茨海默症；51.肌萎缩侧索硬化症；52.银屑病；53.子宫内膜异位症；54.脑瘫（限儿童）；55.孤独症（限儿童）。等规定慢特病所发生的门诊医疗费用，城乡居民基本医疗保险基金给予适当补助。</w:t>
      </w:r>
    </w:p>
    <w:p w14:paraId="4D7F46C0">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在一个年度内，门诊慢特病医疗费用起付标准为500元，与住院起付标准分别计算，起付标准以上至最高支付限额之间符合政策规定的门诊慢特病医疗费用补助比例不低于60％，具体比例和病种调整由市医疗保障部门根据年度基金结余情况确定。</w:t>
      </w:r>
    </w:p>
    <w:p w14:paraId="31204500">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门诊急诊患者未转入住院治疗的（不含抢救无效死亡的），72小时内发生的合规医疗费用，起付标准50元，职工医保从个人账户资金支付，居民医保按50%的报销比例从统筹基金支付，职工医保个人账户资金不足支付时，按50%的报销比例从统筹基金支付，最高支付限额与住院统筹基金最高支付限额一并计算。超过72小时发生的合规医疗费用，由医疗机构报所属医疗保障经办机构审核，合理救治医疗费用按照以上规定执行。</w:t>
      </w:r>
    </w:p>
    <w:p w14:paraId="68A44E8A">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经门（急）诊紧急治疗后住院的,其符合规定的急诊医疗费用可并入住院费用，其中在本市非定点医疗机构发生的急诊住院医疗费用按三级定点医院支付标准结算,并应提供原始发票、病历复印件、长期医嘱和临时医嘱复印件、医疗费用汇总明细表；</w:t>
      </w:r>
    </w:p>
    <w:p w14:paraId="661F1514">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经门（急）诊抢救无效死亡的,符合规定的急诊医疗费用按50%的报销比例从统筹基金支付。</w:t>
      </w:r>
    </w:p>
    <w:p w14:paraId="1F55ED95">
      <w:pPr>
        <w:widowControl/>
        <w:spacing w:line="560" w:lineRule="exact"/>
        <w:ind w:firstLine="640" w:firstLineChars="200"/>
        <w:jc w:val="left"/>
        <w:rPr>
          <w:rFonts w:hint="default" w:ascii="黑体" w:hAnsi="黑体" w:eastAsia="黑体" w:cs="黑体"/>
          <w:b w:val="0"/>
          <w:bCs w:val="0"/>
          <w:color w:val="000000"/>
          <w:kern w:val="0"/>
          <w:sz w:val="32"/>
          <w:szCs w:val="32"/>
          <w:lang w:val="en-US" w:eastAsia="zh-CN"/>
        </w:rPr>
      </w:pPr>
      <w:r>
        <w:rPr>
          <w:rFonts w:hint="default" w:ascii="黑体" w:hAnsi="黑体" w:eastAsia="黑体" w:cs="黑体"/>
          <w:b w:val="0"/>
          <w:bCs w:val="0"/>
          <w:color w:val="000000"/>
          <w:kern w:val="0"/>
          <w:sz w:val="32"/>
          <w:szCs w:val="32"/>
          <w:lang w:val="en-US" w:eastAsia="zh-CN"/>
        </w:rPr>
        <w:t>二、大病保险</w:t>
      </w:r>
    </w:p>
    <w:p w14:paraId="6638CD2C">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居民大病保险起付标准1.8万元，个人负担的合规医疗费用起付标准（含）以上、10万元以下的部分给予60%补偿，10万元（含）以上、20万元以下的部分给予65%补偿，20万元（含）以上、30万元以下的部分给予70%补偿，30万元（含）以上的部分给予75%补偿。一个医疗年度内，居民大病保险每人最高给予40万元的补偿。</w:t>
      </w:r>
    </w:p>
    <w:p w14:paraId="5AE64CAB">
      <w:pPr>
        <w:widowControl/>
        <w:spacing w:line="560" w:lineRule="exact"/>
        <w:ind w:firstLine="640" w:firstLineChars="200"/>
        <w:jc w:val="left"/>
        <w:rPr>
          <w:rFonts w:hint="default" w:ascii="Times New Roman" w:hAnsi="Times New Roman" w:eastAsia="仿宋_GB2312" w:cs="Times New Roman"/>
          <w:color w:val="000000"/>
          <w:kern w:val="0"/>
          <w:sz w:val="32"/>
          <w:szCs w:val="32"/>
          <w:lang w:val="en-US" w:eastAsia="zh-CN"/>
        </w:rPr>
      </w:pPr>
    </w:p>
    <w:p w14:paraId="6CAED52C">
      <w:pPr>
        <w:widowControl/>
        <w:spacing w:line="560" w:lineRule="exact"/>
        <w:ind w:firstLine="321" w:firstLineChars="100"/>
        <w:jc w:val="left"/>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具体政策以淄博市医疗保障局为准，咨询电话：0533-3120000。</w:t>
      </w:r>
    </w:p>
    <w:p w14:paraId="06F2FD06"/>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E8C7A-E274-4647-880D-F648845455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C90A3B-DB8B-4ECA-B78A-53734238E5D3}"/>
  </w:font>
  <w:font w:name="方正小标宋简体">
    <w:panose1 w:val="02000000000000000000"/>
    <w:charset w:val="86"/>
    <w:family w:val="auto"/>
    <w:pitch w:val="default"/>
    <w:sig w:usb0="00000001" w:usb1="080E0000" w:usb2="00000000" w:usb3="00000000" w:csb0="00040000" w:csb1="00000000"/>
    <w:embedRegular r:id="rId3" w:fontKey="{F8A6D268-1018-4AB0-941A-0EB1850AFA1D}"/>
  </w:font>
  <w:font w:name="仿宋_GB2312">
    <w:panose1 w:val="02010609030101010101"/>
    <w:charset w:val="86"/>
    <w:family w:val="modern"/>
    <w:pitch w:val="default"/>
    <w:sig w:usb0="00000001" w:usb1="080E0000" w:usb2="00000000" w:usb3="00000000" w:csb0="00040000" w:csb1="00000000"/>
    <w:embedRegular r:id="rId4" w:fontKey="{86FE8274-FF03-47AC-AE2B-0B49151C2F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zQ4OTI3N2NhMDExNWRlOTczYWUxMTA3YmQ1ZTgifQ=="/>
  </w:docVars>
  <w:rsids>
    <w:rsidRoot w:val="00000000"/>
    <w:rsid w:val="7E28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2024-10-14T00:09:55Z</dcterms:created>
  <dc:creator>Administrator</dc:creator>
  <cp:lastModifiedBy>简单</cp:lastModifiedBy>
  <dcterms:modified xsi:type="dcterms:W3CDTF">2024-10-14T00:11:46Z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7C863AC7F9D04430814A0664F78E0000_12</vt:lpwstr>
  </property>
</Properties>
</file>