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F04F1">
      <w:pPr>
        <w:widowControl/>
        <w:spacing w:line="560" w:lineRule="exact"/>
        <w:jc w:val="left"/>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附件</w:t>
      </w:r>
    </w:p>
    <w:p w14:paraId="50E10729">
      <w:pPr>
        <w:widowControl/>
        <w:spacing w:line="560" w:lineRule="exact"/>
        <w:ind w:firstLine="482"/>
        <w:jc w:val="center"/>
        <w:rPr>
          <w:rFonts w:hint="default" w:ascii="Times New Roman" w:hAnsi="Times New Roman" w:eastAsia="方正小标宋简体" w:cs="Times New Roman"/>
          <w:b w:val="0"/>
          <w:bCs w:val="0"/>
          <w:color w:val="000000"/>
          <w:kern w:val="0"/>
          <w:sz w:val="44"/>
          <w:szCs w:val="44"/>
        </w:rPr>
      </w:pPr>
      <w:r>
        <w:rPr>
          <w:rFonts w:hint="default" w:ascii="Times New Roman" w:hAnsi="Times New Roman" w:eastAsia="方正小标宋简体" w:cs="Times New Roman"/>
          <w:b w:val="0"/>
          <w:bCs w:val="0"/>
          <w:color w:val="000000"/>
          <w:kern w:val="0"/>
          <w:sz w:val="44"/>
          <w:szCs w:val="44"/>
        </w:rPr>
        <w:t>大学生参加淄博市</w:t>
      </w:r>
    </w:p>
    <w:p w14:paraId="51E50CF4">
      <w:pPr>
        <w:widowControl/>
        <w:spacing w:line="560" w:lineRule="exact"/>
        <w:ind w:firstLine="482"/>
        <w:jc w:val="center"/>
        <w:rPr>
          <w:rFonts w:hint="default" w:ascii="Times New Roman" w:hAnsi="Times New Roman" w:eastAsia="方正小标宋简体" w:cs="Times New Roman"/>
          <w:b w:val="0"/>
          <w:bCs w:val="0"/>
          <w:color w:val="000000"/>
          <w:kern w:val="0"/>
          <w:sz w:val="44"/>
          <w:szCs w:val="44"/>
          <w:lang w:eastAsia="zh-CN"/>
        </w:rPr>
      </w:pPr>
      <w:r>
        <w:rPr>
          <w:rFonts w:hint="default" w:ascii="Times New Roman" w:hAnsi="Times New Roman" w:eastAsia="方正小标宋简体" w:cs="Times New Roman"/>
          <w:b w:val="0"/>
          <w:bCs w:val="0"/>
          <w:color w:val="000000"/>
          <w:kern w:val="0"/>
          <w:sz w:val="44"/>
          <w:szCs w:val="44"/>
        </w:rPr>
        <w:t>城乡居民基本医疗保险</w:t>
      </w:r>
      <w:r>
        <w:rPr>
          <w:rFonts w:hint="default" w:ascii="Times New Roman" w:hAnsi="Times New Roman" w:eastAsia="方正小标宋简体" w:cs="Times New Roman"/>
          <w:b w:val="0"/>
          <w:bCs w:val="0"/>
          <w:color w:val="000000"/>
          <w:kern w:val="0"/>
          <w:sz w:val="44"/>
          <w:szCs w:val="44"/>
          <w:lang w:eastAsia="zh-CN"/>
        </w:rPr>
        <w:t>待遇</w:t>
      </w:r>
    </w:p>
    <w:p w14:paraId="24DDD9CC">
      <w:pPr>
        <w:widowControl/>
        <w:spacing w:line="560" w:lineRule="exact"/>
        <w:ind w:firstLine="482"/>
        <w:jc w:val="center"/>
        <w:rPr>
          <w:rFonts w:hint="default" w:ascii="Times New Roman" w:hAnsi="Times New Roman" w:eastAsia="方正小标宋简体" w:cs="Times New Roman"/>
          <w:b w:val="0"/>
          <w:bCs w:val="0"/>
          <w:color w:val="000000"/>
          <w:kern w:val="0"/>
          <w:sz w:val="44"/>
          <w:szCs w:val="44"/>
          <w:lang w:val="en-US" w:eastAsia="zh-CN"/>
        </w:rPr>
      </w:pPr>
    </w:p>
    <w:p w14:paraId="5F1D1BFF">
      <w:pPr>
        <w:widowControl/>
        <w:spacing w:line="560" w:lineRule="exact"/>
        <w:ind w:firstLine="640" w:firstLineChars="200"/>
        <w:jc w:val="left"/>
        <w:rPr>
          <w:rFonts w:hint="eastAsia" w:ascii="黑体" w:hAnsi="黑体" w:eastAsia="黑体" w:cs="黑体"/>
          <w:b w:val="0"/>
          <w:bCs w:val="0"/>
          <w:color w:val="000000"/>
          <w:kern w:val="0"/>
          <w:sz w:val="32"/>
          <w:szCs w:val="32"/>
          <w:lang w:val="en-US" w:eastAsia="zh-CN"/>
        </w:rPr>
      </w:pPr>
      <w:r>
        <w:rPr>
          <w:rFonts w:hint="eastAsia" w:ascii="黑体" w:hAnsi="黑体" w:eastAsia="黑体" w:cs="黑体"/>
          <w:b w:val="0"/>
          <w:bCs w:val="0"/>
          <w:color w:val="000000"/>
          <w:kern w:val="0"/>
          <w:sz w:val="32"/>
          <w:szCs w:val="32"/>
          <w:lang w:val="en-US" w:eastAsia="zh-CN"/>
        </w:rPr>
        <w:t>一、基本医疗保险</w:t>
      </w:r>
    </w:p>
    <w:p w14:paraId="6BBF428E">
      <w:pPr>
        <w:widowControl/>
        <w:spacing w:line="560" w:lineRule="exact"/>
        <w:ind w:firstLine="640" w:firstLineChars="20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城乡居民基本医疗保险待遇包括住院医疗待遇、门</w:t>
      </w:r>
      <w:r>
        <w:rPr>
          <w:rFonts w:hint="eastAsia" w:eastAsia="仿宋_GB2312" w:cs="Times New Roman"/>
          <w:color w:val="000000"/>
          <w:kern w:val="0"/>
          <w:sz w:val="32"/>
          <w:szCs w:val="32"/>
          <w:lang w:val="en-US" w:eastAsia="zh-CN"/>
        </w:rPr>
        <w:t>急</w:t>
      </w:r>
      <w:r>
        <w:rPr>
          <w:rFonts w:hint="default" w:ascii="Times New Roman" w:hAnsi="Times New Roman" w:eastAsia="仿宋_GB2312" w:cs="Times New Roman"/>
          <w:color w:val="000000"/>
          <w:kern w:val="0"/>
          <w:sz w:val="32"/>
          <w:szCs w:val="32"/>
          <w:lang w:val="en-US" w:eastAsia="zh-CN"/>
        </w:rPr>
        <w:t>诊医疗待遇</w:t>
      </w:r>
      <w:r>
        <w:rPr>
          <w:rFonts w:hint="eastAsia" w:eastAsia="仿宋_GB2312" w:cs="Times New Roman"/>
          <w:color w:val="000000"/>
          <w:kern w:val="0"/>
          <w:sz w:val="32"/>
          <w:szCs w:val="32"/>
          <w:lang w:val="en-US" w:eastAsia="zh-CN"/>
        </w:rPr>
        <w:t>等</w:t>
      </w:r>
      <w:r>
        <w:rPr>
          <w:rFonts w:hint="default" w:ascii="Times New Roman" w:hAnsi="Times New Roman" w:eastAsia="仿宋_GB2312" w:cs="Times New Roman"/>
          <w:color w:val="000000"/>
          <w:kern w:val="0"/>
          <w:sz w:val="32"/>
          <w:szCs w:val="32"/>
          <w:lang w:val="en-US" w:eastAsia="zh-CN"/>
        </w:rPr>
        <w:t>。在一个年度内，基本医疗保险基金最高支付限额为20万元。</w:t>
      </w:r>
    </w:p>
    <w:p w14:paraId="06A62FFF">
      <w:pPr>
        <w:widowControl/>
        <w:spacing w:line="560" w:lineRule="exact"/>
        <w:ind w:firstLine="643" w:firstLineChars="20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1.住院医疗待遇</w:t>
      </w:r>
    </w:p>
    <w:p w14:paraId="790C513B">
      <w:pPr>
        <w:widowControl/>
        <w:spacing w:line="560" w:lineRule="exact"/>
        <w:ind w:firstLine="640" w:firstLineChars="20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学生在本年度首次住院，医疗费用起付标准为100元。</w:t>
      </w:r>
    </w:p>
    <w:p w14:paraId="7BE6CDAA">
      <w:pPr>
        <w:widowControl/>
        <w:spacing w:line="560" w:lineRule="exact"/>
        <w:ind w:firstLine="640" w:firstLineChars="20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在一个年度内二次住院，起付标准减半，第三次</w:t>
      </w:r>
      <w:r>
        <w:rPr>
          <w:rFonts w:hint="eastAsia" w:eastAsia="仿宋_GB2312" w:cs="Times New Roman"/>
          <w:color w:val="000000"/>
          <w:kern w:val="0"/>
          <w:sz w:val="32"/>
          <w:szCs w:val="32"/>
          <w:lang w:val="en-US" w:eastAsia="zh-CN"/>
        </w:rPr>
        <w:t>以上</w:t>
      </w:r>
      <w:r>
        <w:rPr>
          <w:rFonts w:hint="default" w:ascii="Times New Roman" w:hAnsi="Times New Roman" w:eastAsia="仿宋_GB2312" w:cs="Times New Roman"/>
          <w:color w:val="000000"/>
          <w:kern w:val="0"/>
          <w:sz w:val="32"/>
          <w:szCs w:val="32"/>
          <w:lang w:val="en-US" w:eastAsia="zh-CN"/>
        </w:rPr>
        <w:t>取消起付线。</w:t>
      </w:r>
    </w:p>
    <w:p w14:paraId="77949EDA">
      <w:pPr>
        <w:widowControl/>
        <w:spacing w:line="560" w:lineRule="exact"/>
        <w:ind w:firstLine="640" w:firstLineChars="20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起付标准以上至最高支付限额之间符合政策规定的住院医疗费用，实行基本药物制度的一级医院（实行基本药物目录）报销比例为 85% ，其他一级医院报销比例为 75% ，二级医院报销比例为 70% ，三级医院报销比例为 60% 。</w:t>
      </w:r>
    </w:p>
    <w:p w14:paraId="7B540C3F">
      <w:pPr>
        <w:widowControl/>
        <w:spacing w:line="560" w:lineRule="exact"/>
        <w:ind w:firstLine="643" w:firstLineChars="20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2.普通门诊统筹医疗待遇</w:t>
      </w:r>
    </w:p>
    <w:p w14:paraId="7C8BF44B">
      <w:pPr>
        <w:widowControl/>
        <w:spacing w:line="560" w:lineRule="exact"/>
        <w:ind w:firstLine="640" w:firstLineChars="200"/>
        <w:jc w:val="left"/>
        <w:rPr>
          <w:rFonts w:hint="default" w:ascii="Times New Roman" w:hAnsi="Times New Roman" w:eastAsia="仿宋_GB2312" w:cs="Times New Roman"/>
          <w:color w:val="000000"/>
          <w:kern w:val="0"/>
          <w:sz w:val="32"/>
          <w:szCs w:val="32"/>
          <w:lang w:val="en-US" w:eastAsia="zh-CN"/>
        </w:rPr>
      </w:pPr>
      <w:r>
        <w:rPr>
          <w:rFonts w:hint="eastAsia" w:eastAsia="仿宋_GB2312" w:cs="Times New Roman"/>
          <w:color w:val="000000"/>
          <w:kern w:val="0"/>
          <w:sz w:val="32"/>
          <w:szCs w:val="32"/>
          <w:lang w:val="en-US" w:eastAsia="zh-CN"/>
        </w:rPr>
        <w:t>居民门诊统筹待遇只能在</w:t>
      </w:r>
      <w:r>
        <w:rPr>
          <w:rFonts w:hint="eastAsia" w:eastAsia="仿宋_GB2312" w:cs="Times New Roman"/>
          <w:b/>
          <w:bCs/>
          <w:color w:val="000000"/>
          <w:kern w:val="0"/>
          <w:sz w:val="32"/>
          <w:szCs w:val="32"/>
          <w:lang w:val="en-US" w:eastAsia="zh-CN"/>
        </w:rPr>
        <w:t>一级及以下</w:t>
      </w:r>
      <w:r>
        <w:rPr>
          <w:rFonts w:hint="eastAsia" w:eastAsia="仿宋_GB2312" w:cs="Times New Roman"/>
          <w:color w:val="000000"/>
          <w:kern w:val="0"/>
          <w:sz w:val="32"/>
          <w:szCs w:val="32"/>
          <w:lang w:val="en-US" w:eastAsia="zh-CN"/>
        </w:rPr>
        <w:t>医疗机构享受。</w:t>
      </w:r>
    </w:p>
    <w:p w14:paraId="160CCF18">
      <w:pPr>
        <w:widowControl/>
        <w:spacing w:line="560" w:lineRule="exact"/>
        <w:ind w:firstLine="640" w:firstLineChars="20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在一个年度内，医疗费用起付标准为50元，起付标准以上符合政策规定的普通门诊统筹医疗费用报销比例为</w:t>
      </w:r>
      <w:r>
        <w:rPr>
          <w:rFonts w:hint="eastAsia" w:eastAsia="仿宋_GB2312" w:cs="Times New Roman"/>
          <w:color w:val="000000"/>
          <w:kern w:val="0"/>
          <w:sz w:val="32"/>
          <w:szCs w:val="32"/>
          <w:lang w:val="en-US" w:eastAsia="zh-CN"/>
        </w:rPr>
        <w:t>65</w:t>
      </w:r>
      <w:r>
        <w:rPr>
          <w:rFonts w:hint="default" w:ascii="Times New Roman" w:hAnsi="Times New Roman" w:eastAsia="仿宋_GB2312" w:cs="Times New Roman"/>
          <w:color w:val="000000"/>
          <w:kern w:val="0"/>
          <w:sz w:val="32"/>
          <w:szCs w:val="32"/>
          <w:lang w:val="en-US" w:eastAsia="zh-CN"/>
        </w:rPr>
        <w:t>％</w:t>
      </w:r>
      <w:r>
        <w:rPr>
          <w:rFonts w:hint="eastAsia"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门诊统筹基金</w:t>
      </w:r>
      <w:r>
        <w:rPr>
          <w:rFonts w:hint="eastAsia" w:eastAsia="仿宋_GB2312" w:cs="Times New Roman"/>
          <w:color w:val="000000"/>
          <w:kern w:val="0"/>
          <w:sz w:val="32"/>
          <w:szCs w:val="32"/>
          <w:lang w:val="en-US" w:eastAsia="zh-CN"/>
        </w:rPr>
        <w:t>实际年度</w:t>
      </w:r>
      <w:r>
        <w:rPr>
          <w:rFonts w:hint="default" w:ascii="Times New Roman" w:hAnsi="Times New Roman" w:eastAsia="仿宋_GB2312" w:cs="Times New Roman"/>
          <w:color w:val="000000"/>
          <w:kern w:val="0"/>
          <w:sz w:val="32"/>
          <w:szCs w:val="32"/>
          <w:lang w:val="en-US" w:eastAsia="zh-CN"/>
        </w:rPr>
        <w:t>支付限额为</w:t>
      </w:r>
      <w:r>
        <w:rPr>
          <w:rFonts w:hint="eastAsia" w:eastAsia="仿宋_GB2312" w:cs="Times New Roman"/>
          <w:color w:val="000000"/>
          <w:kern w:val="0"/>
          <w:sz w:val="32"/>
          <w:szCs w:val="32"/>
          <w:lang w:val="en-US" w:eastAsia="zh-CN"/>
        </w:rPr>
        <w:t>475</w:t>
      </w:r>
      <w:r>
        <w:rPr>
          <w:rFonts w:hint="default" w:ascii="Times New Roman" w:hAnsi="Times New Roman" w:eastAsia="仿宋_GB2312" w:cs="Times New Roman"/>
          <w:color w:val="000000"/>
          <w:kern w:val="0"/>
          <w:sz w:val="32"/>
          <w:szCs w:val="32"/>
          <w:lang w:val="en-US" w:eastAsia="zh-CN"/>
        </w:rPr>
        <w:t>元。</w:t>
      </w:r>
    </w:p>
    <w:p w14:paraId="5ADB76E5">
      <w:pPr>
        <w:widowControl/>
        <w:spacing w:line="560" w:lineRule="exact"/>
        <w:ind w:firstLine="643" w:firstLineChars="200"/>
        <w:jc w:val="left"/>
        <w:rPr>
          <w:rFonts w:hint="default" w:ascii="Times New Roman" w:hAnsi="Times New Roman" w:eastAsia="仿宋_GB2312" w:cs="Times New Roman"/>
          <w:b/>
          <w:bCs/>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3.意外伤害门诊医疗待遇</w:t>
      </w:r>
    </w:p>
    <w:p w14:paraId="173F1ADD">
      <w:pPr>
        <w:widowControl/>
        <w:spacing w:line="560" w:lineRule="exact"/>
        <w:ind w:firstLine="640" w:firstLineChars="20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学生因意外伤害发生的符合政策规定的门诊医疗费用，按照门诊统筹规定支付，最高支付限额5000元。</w:t>
      </w:r>
    </w:p>
    <w:p w14:paraId="322D6A9D">
      <w:pPr>
        <w:widowControl/>
        <w:spacing w:line="560" w:lineRule="exact"/>
        <w:ind w:firstLine="643" w:firstLineChars="20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4.门诊慢特病医疗待遇</w:t>
      </w:r>
    </w:p>
    <w:p w14:paraId="2182D5F6">
      <w:pPr>
        <w:widowControl/>
        <w:spacing w:line="560" w:lineRule="exact"/>
        <w:ind w:firstLine="640" w:firstLineChars="20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经确认患有1.恶性肿瘤（包括白血病）；2.尿毒症；3.脏器官移植；4.糖尿病（合并感染或有心、肾、眼、神经并发症之一者）；5.高血压病Ⅲ期（有心、脑、肾并发症之一者）；6.类风湿病（活动期）；7.肺源性心脏病（出现右心室衰竭）；8.脑出血（包括脑梗塞）恢复期；9.慢性病毒性肝炎；10.阻塞性肺气肿；11.慢性心力衰竭；12.慢性房颤；13.冠心病；14.心肌病（原发性）；15.消化性溃疡（限职工）；16.肝硬化；17.慢性肾小球肾炎；18.肾病综合征；19.慢性肾功能衰竭；20.再生障碍性贫血；21.白细胞减少症；22.骨髓增生异常综合征；23.血小板减少性紫癜；24.甲亢性心脏病（限职工）；25.甲状腺功能减退症（限职工）；26.皮质醇增多症；27.原发性醛固酮增多症；28.原发性慢性肾上腺皮质功能减退症；29.系统性红斑狼疮；30.系统性硬化症；31.多发性硬化；32.震颤麻痹；33.运动神经元病；34.结核；35.精神分裂症；36.分裂情感性障碍；37.偏执性精神病；38.双相（情感）障碍；39.癫痫所致精神障碍；40.精神发育迟滞；41.癫痫；42.血友病；43.重症肌无力；44.白塞氏病；45.苯丙酮尿症；46.肺间质纤维化；47.强直性脊柱炎；48.干燥综合症；49.肺动脉高压；50.阿尔茨海默症；51.肌萎缩侧索硬化症；52.银屑病；53.子宫内膜异位症；54.脑瘫（限儿童）；55.孤独症（限儿童）。等规定慢特病所发生的门诊医疗费用，城乡居民基本医疗保险基金给予适当补助。</w:t>
      </w:r>
    </w:p>
    <w:p w14:paraId="4D7F46C0">
      <w:pPr>
        <w:widowControl/>
        <w:spacing w:line="560" w:lineRule="exact"/>
        <w:ind w:firstLine="640" w:firstLineChars="20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在一个年度内，门诊慢特病医疗费用起付标准为500元，与住院起付标准分别计算，起付标准以上至最高支付限额之间符合政策规定的门诊慢特病医疗费用补助比例不低于60％，具体比例和病种调整由市医疗保障部门根据年度基金结余情况确定。</w:t>
      </w:r>
    </w:p>
    <w:p w14:paraId="0ECFAC4F">
      <w:pPr>
        <w:widowControl/>
        <w:numPr>
          <w:ilvl w:val="0"/>
          <w:numId w:val="0"/>
        </w:numPr>
        <w:spacing w:line="560" w:lineRule="exact"/>
        <w:ind w:firstLine="643" w:firstLineChars="200"/>
        <w:jc w:val="left"/>
        <w:rPr>
          <w:rFonts w:hint="eastAsia" w:eastAsia="仿宋_GB2312" w:cs="Times New Roman"/>
          <w:b/>
          <w:bCs/>
          <w:color w:val="000000"/>
          <w:kern w:val="0"/>
          <w:sz w:val="32"/>
          <w:szCs w:val="32"/>
          <w:lang w:val="en-US" w:eastAsia="zh-CN"/>
        </w:rPr>
      </w:pPr>
      <w:r>
        <w:rPr>
          <w:rFonts w:hint="eastAsia" w:eastAsia="仿宋_GB2312" w:cs="Times New Roman"/>
          <w:b/>
          <w:bCs/>
          <w:color w:val="000000"/>
          <w:kern w:val="0"/>
          <w:sz w:val="32"/>
          <w:szCs w:val="32"/>
          <w:lang w:val="en-US" w:eastAsia="zh-CN"/>
        </w:rPr>
        <w:t>5.急诊医疗待遇</w:t>
      </w:r>
    </w:p>
    <w:p w14:paraId="31204500">
      <w:pPr>
        <w:widowControl/>
        <w:numPr>
          <w:ilvl w:val="0"/>
          <w:numId w:val="0"/>
        </w:numPr>
        <w:spacing w:line="560" w:lineRule="exact"/>
        <w:ind w:firstLine="640" w:firstLineChars="20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门诊急诊患者未转入住院治疗的（不含抢救无效死亡的），</w:t>
      </w:r>
      <w:r>
        <w:rPr>
          <w:rFonts w:hint="eastAsia" w:eastAsia="仿宋_GB2312" w:cs="Times New Roman"/>
          <w:color w:val="000000"/>
          <w:kern w:val="0"/>
          <w:sz w:val="32"/>
          <w:szCs w:val="32"/>
          <w:lang w:val="en-US" w:eastAsia="zh-CN"/>
        </w:rPr>
        <w:t>发生的医疗费用，一、二、三级医院起付线分别为50元、300元、500元，报销比例55%。</w:t>
      </w:r>
    </w:p>
    <w:p w14:paraId="69BD89B5">
      <w:pPr>
        <w:widowControl/>
        <w:spacing w:line="560" w:lineRule="exact"/>
        <w:ind w:firstLine="640" w:firstLineChars="200"/>
        <w:jc w:val="left"/>
        <w:rPr>
          <w:rFonts w:hint="eastAsia"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经门急诊抢救无效死亡的</w:t>
      </w:r>
      <w:r>
        <w:rPr>
          <w:rFonts w:hint="eastAsia" w:eastAsia="仿宋_GB2312" w:cs="Times New Roman"/>
          <w:color w:val="000000"/>
          <w:kern w:val="0"/>
          <w:sz w:val="32"/>
          <w:szCs w:val="32"/>
          <w:lang w:val="en-US" w:eastAsia="zh-CN"/>
        </w:rPr>
        <w:t>，或</w:t>
      </w:r>
      <w:r>
        <w:rPr>
          <w:rFonts w:hint="default" w:ascii="Times New Roman" w:hAnsi="Times New Roman" w:eastAsia="仿宋_GB2312" w:cs="Times New Roman"/>
          <w:color w:val="000000"/>
          <w:kern w:val="0"/>
          <w:sz w:val="32"/>
          <w:szCs w:val="32"/>
          <w:lang w:val="en-US" w:eastAsia="zh-CN"/>
        </w:rPr>
        <w:t>急</w:t>
      </w:r>
      <w:r>
        <w:rPr>
          <w:rFonts w:hint="eastAsia" w:eastAsia="仿宋_GB2312" w:cs="Times New Roman"/>
          <w:color w:val="000000"/>
          <w:kern w:val="0"/>
          <w:sz w:val="32"/>
          <w:szCs w:val="32"/>
          <w:lang w:val="en-US" w:eastAsia="zh-CN"/>
        </w:rPr>
        <w:t>诊</w:t>
      </w:r>
      <w:r>
        <w:rPr>
          <w:rFonts w:hint="default" w:ascii="Times New Roman" w:hAnsi="Times New Roman" w:eastAsia="仿宋_GB2312" w:cs="Times New Roman"/>
          <w:color w:val="000000"/>
          <w:kern w:val="0"/>
          <w:sz w:val="32"/>
          <w:szCs w:val="32"/>
          <w:lang w:val="en-US" w:eastAsia="zh-CN"/>
        </w:rPr>
        <w:t>治疗后</w:t>
      </w:r>
      <w:r>
        <w:rPr>
          <w:rFonts w:hint="eastAsia" w:eastAsia="仿宋_GB2312" w:cs="Times New Roman"/>
          <w:color w:val="000000"/>
          <w:kern w:val="0"/>
          <w:sz w:val="32"/>
          <w:szCs w:val="32"/>
          <w:lang w:val="en-US" w:eastAsia="zh-CN"/>
        </w:rPr>
        <w:t>转入</w:t>
      </w:r>
      <w:r>
        <w:rPr>
          <w:rFonts w:hint="default" w:ascii="Times New Roman" w:hAnsi="Times New Roman" w:eastAsia="仿宋_GB2312" w:cs="Times New Roman"/>
          <w:color w:val="000000"/>
          <w:kern w:val="0"/>
          <w:sz w:val="32"/>
          <w:szCs w:val="32"/>
          <w:lang w:val="en-US" w:eastAsia="zh-CN"/>
        </w:rPr>
        <w:t>住院</w:t>
      </w:r>
      <w:r>
        <w:rPr>
          <w:rFonts w:hint="eastAsia" w:eastAsia="仿宋_GB2312" w:cs="Times New Roman"/>
          <w:color w:val="000000"/>
          <w:kern w:val="0"/>
          <w:sz w:val="32"/>
          <w:szCs w:val="32"/>
          <w:lang w:val="en-US" w:eastAsia="zh-CN"/>
        </w:rPr>
        <w:t>治疗的</w:t>
      </w:r>
      <w:r>
        <w:rPr>
          <w:rFonts w:hint="default" w:ascii="Times New Roman" w:hAnsi="Times New Roman" w:eastAsia="仿宋_GB2312" w:cs="Times New Roman"/>
          <w:color w:val="000000"/>
          <w:kern w:val="0"/>
          <w:sz w:val="32"/>
          <w:szCs w:val="32"/>
          <w:lang w:val="en-US" w:eastAsia="zh-CN"/>
        </w:rPr>
        <w:t>,其符合规定的急诊医疗费用可并入住院费用，</w:t>
      </w:r>
      <w:r>
        <w:rPr>
          <w:rFonts w:hint="eastAsia" w:eastAsia="仿宋_GB2312" w:cs="Times New Roman"/>
          <w:color w:val="000000"/>
          <w:kern w:val="0"/>
          <w:sz w:val="32"/>
          <w:szCs w:val="32"/>
          <w:lang w:val="en-US" w:eastAsia="zh-CN"/>
        </w:rPr>
        <w:t>统一执行住院报销政策。</w:t>
      </w:r>
    </w:p>
    <w:p w14:paraId="1F55ED95">
      <w:pPr>
        <w:widowControl/>
        <w:spacing w:line="560" w:lineRule="exact"/>
        <w:ind w:firstLine="640" w:firstLineChars="200"/>
        <w:jc w:val="left"/>
        <w:rPr>
          <w:rFonts w:hint="default" w:ascii="黑体" w:hAnsi="黑体" w:eastAsia="黑体" w:cs="黑体"/>
          <w:b w:val="0"/>
          <w:bCs w:val="0"/>
          <w:color w:val="000000"/>
          <w:kern w:val="0"/>
          <w:sz w:val="32"/>
          <w:szCs w:val="32"/>
          <w:lang w:val="en-US" w:eastAsia="zh-CN"/>
        </w:rPr>
      </w:pPr>
      <w:r>
        <w:rPr>
          <w:rFonts w:hint="default" w:ascii="黑体" w:hAnsi="黑体" w:eastAsia="黑体" w:cs="黑体"/>
          <w:b w:val="0"/>
          <w:bCs w:val="0"/>
          <w:color w:val="000000"/>
          <w:kern w:val="0"/>
          <w:sz w:val="32"/>
          <w:szCs w:val="32"/>
          <w:lang w:val="en-US" w:eastAsia="zh-CN"/>
        </w:rPr>
        <w:t>二、大病保险</w:t>
      </w:r>
    </w:p>
    <w:p w14:paraId="57EEC0AD">
      <w:pPr>
        <w:widowControl/>
        <w:spacing w:line="560" w:lineRule="exact"/>
        <w:ind w:firstLine="640" w:firstLineChars="20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一个</w:t>
      </w:r>
      <w:r>
        <w:rPr>
          <w:rFonts w:hint="eastAsia" w:eastAsia="仿宋_GB2312" w:cs="Times New Roman"/>
          <w:color w:val="000000"/>
          <w:kern w:val="0"/>
          <w:sz w:val="32"/>
          <w:szCs w:val="32"/>
          <w:lang w:val="en-US" w:eastAsia="zh-CN"/>
        </w:rPr>
        <w:t>自然</w:t>
      </w:r>
      <w:r>
        <w:rPr>
          <w:rFonts w:hint="default" w:ascii="Times New Roman" w:hAnsi="Times New Roman" w:eastAsia="仿宋_GB2312" w:cs="Times New Roman"/>
          <w:color w:val="000000"/>
          <w:kern w:val="0"/>
          <w:sz w:val="32"/>
          <w:szCs w:val="32"/>
          <w:lang w:val="en-US" w:eastAsia="zh-CN"/>
        </w:rPr>
        <w:t>年度内，</w:t>
      </w:r>
      <w:r>
        <w:rPr>
          <w:rFonts w:hint="eastAsia" w:eastAsia="仿宋_GB2312" w:cs="Times New Roman"/>
          <w:color w:val="000000"/>
          <w:kern w:val="0"/>
          <w:sz w:val="32"/>
          <w:szCs w:val="32"/>
          <w:lang w:val="en-US" w:eastAsia="zh-CN"/>
        </w:rPr>
        <w:t>个人负担的住院（含门诊慢特病）政策范围内医疗费用超过1.8万元以上部分，</w:t>
      </w:r>
      <w:r>
        <w:rPr>
          <w:rFonts w:hint="default" w:ascii="Times New Roman" w:hAnsi="Times New Roman" w:eastAsia="仿宋_GB2312" w:cs="Times New Roman"/>
          <w:color w:val="000000"/>
          <w:kern w:val="0"/>
          <w:sz w:val="32"/>
          <w:szCs w:val="32"/>
          <w:lang w:val="en-US" w:eastAsia="zh-CN"/>
        </w:rPr>
        <w:t>最高</w:t>
      </w:r>
      <w:r>
        <w:rPr>
          <w:rFonts w:hint="eastAsia" w:eastAsia="仿宋_GB2312" w:cs="Times New Roman"/>
          <w:color w:val="000000"/>
          <w:kern w:val="0"/>
          <w:sz w:val="32"/>
          <w:szCs w:val="32"/>
          <w:lang w:val="en-US" w:eastAsia="zh-CN"/>
        </w:rPr>
        <w:t>支付</w:t>
      </w:r>
      <w:r>
        <w:rPr>
          <w:rFonts w:hint="default" w:ascii="Times New Roman" w:hAnsi="Times New Roman" w:eastAsia="仿宋_GB2312" w:cs="Times New Roman"/>
          <w:color w:val="000000"/>
          <w:kern w:val="0"/>
          <w:sz w:val="32"/>
          <w:szCs w:val="32"/>
          <w:lang w:val="en-US" w:eastAsia="zh-CN"/>
        </w:rPr>
        <w:t>40万元。</w:t>
      </w:r>
    </w:p>
    <w:p w14:paraId="5AE64CAB">
      <w:pPr>
        <w:widowControl/>
        <w:spacing w:line="560" w:lineRule="exact"/>
        <w:ind w:firstLine="640" w:firstLineChars="20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个人负担的合规医疗费用起付标准</w:t>
      </w:r>
      <w:r>
        <w:rPr>
          <w:rFonts w:hint="eastAsia" w:eastAsia="仿宋_GB2312" w:cs="Times New Roman"/>
          <w:color w:val="000000"/>
          <w:kern w:val="0"/>
          <w:sz w:val="32"/>
          <w:szCs w:val="32"/>
          <w:lang w:val="en-US" w:eastAsia="zh-CN"/>
        </w:rPr>
        <w:t>1.8万元</w:t>
      </w:r>
      <w:r>
        <w:rPr>
          <w:rFonts w:hint="default" w:ascii="Times New Roman" w:hAnsi="Times New Roman" w:eastAsia="仿宋_GB2312" w:cs="Times New Roman"/>
          <w:color w:val="000000"/>
          <w:kern w:val="0"/>
          <w:sz w:val="32"/>
          <w:szCs w:val="32"/>
          <w:lang w:val="en-US" w:eastAsia="zh-CN"/>
        </w:rPr>
        <w:t>（含）以上、10万元以下的部分给予60%补偿，10万元（含）以上、20万元以下的部分给予65%补偿，20万元（含）以上、30万元以下的部分给予70%补偿，30万元（含）以上的部分给予75%补偿。</w:t>
      </w:r>
    </w:p>
    <w:p w14:paraId="6CAED52C">
      <w:pPr>
        <w:widowControl/>
        <w:spacing w:line="560" w:lineRule="exact"/>
        <w:ind w:firstLine="321" w:firstLineChars="100"/>
        <w:jc w:val="left"/>
        <w:rPr>
          <w:rFonts w:hint="default" w:ascii="Times New Roman" w:hAnsi="Times New Roman" w:eastAsia="仿宋_GB2312" w:cs="Times New Roman"/>
          <w:b/>
          <w:bCs/>
          <w:color w:val="000000"/>
          <w:kern w:val="0"/>
          <w:sz w:val="32"/>
          <w:szCs w:val="32"/>
          <w:lang w:val="en-US" w:eastAsia="zh-CN"/>
        </w:rPr>
      </w:pPr>
      <w:r>
        <w:rPr>
          <w:rFonts w:hint="default" w:ascii="Times New Roman" w:hAnsi="Times New Roman" w:eastAsia="仿宋_GB2312" w:cs="Times New Roman"/>
          <w:b/>
          <w:bCs/>
          <w:color w:val="000000"/>
          <w:kern w:val="0"/>
          <w:sz w:val="32"/>
          <w:szCs w:val="32"/>
          <w:lang w:val="en-US" w:eastAsia="zh-CN"/>
        </w:rPr>
        <w:t>具体政策以淄博市医疗保障局为准，咨询电话：0533-3120000。</w:t>
      </w:r>
    </w:p>
    <w:p w14:paraId="06F2FD06">
      <w:bookmarkStart w:id="0" w:name="_GoBack"/>
      <w:bookmarkEnd w:id="0"/>
    </w:p>
    <w:sectPr>
      <w:pgSz w:w="11906" w:h="16838"/>
      <w:pgMar w:top="1417" w:right="1587"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C0C101-991E-4D99-ADDC-E4C9B8A5270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B540984-3726-4FFB-BA2D-9F56432267F5}"/>
  </w:font>
  <w:font w:name="仿宋_GB2312">
    <w:panose1 w:val="02010609030101010101"/>
    <w:charset w:val="86"/>
    <w:family w:val="modern"/>
    <w:pitch w:val="default"/>
    <w:sig w:usb0="00000001" w:usb1="080E0000" w:usb2="00000000" w:usb3="00000000" w:csb0="00040000" w:csb1="00000000"/>
    <w:embedRegular r:id="rId3" w:fontKey="{88E25BEF-F72B-405D-8491-841F357CCE75}"/>
  </w:font>
  <w:font w:name="方正小标宋简体">
    <w:panose1 w:val="02000000000000000000"/>
    <w:charset w:val="86"/>
    <w:family w:val="auto"/>
    <w:pitch w:val="default"/>
    <w:sig w:usb0="00000001" w:usb1="08000000" w:usb2="00000000" w:usb3="00000000" w:csb0="00040000" w:csb1="00000000"/>
    <w:embedRegular r:id="rId4" w:fontKey="{62499835-5840-41FC-95D2-2FA894ED706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FjYzQ4OTI3N2NhMDExNWRlOTczYWUxMTA3YmQ1ZTgifQ=="/>
  </w:docVars>
  <w:rsids>
    <w:rsidRoot w:val="00000000"/>
    <w:rsid w:val="004F7BE2"/>
    <w:rsid w:val="01AB71A3"/>
    <w:rsid w:val="05CF5FEA"/>
    <w:rsid w:val="0CF22606"/>
    <w:rsid w:val="19045B0B"/>
    <w:rsid w:val="1996446A"/>
    <w:rsid w:val="1E4E07A0"/>
    <w:rsid w:val="227B5090"/>
    <w:rsid w:val="2C1C51EE"/>
    <w:rsid w:val="2C332538"/>
    <w:rsid w:val="2E6B420B"/>
    <w:rsid w:val="311D3E91"/>
    <w:rsid w:val="321C01D2"/>
    <w:rsid w:val="324C6101"/>
    <w:rsid w:val="3A40479E"/>
    <w:rsid w:val="3F185CE9"/>
    <w:rsid w:val="46D324F5"/>
    <w:rsid w:val="4D4802EE"/>
    <w:rsid w:val="531B14AC"/>
    <w:rsid w:val="5CC44962"/>
    <w:rsid w:val="5E6F08FE"/>
    <w:rsid w:val="64B81251"/>
    <w:rsid w:val="685B0C96"/>
    <w:rsid w:val="701E39EB"/>
    <w:rsid w:val="7273560F"/>
    <w:rsid w:val="72D27981"/>
    <w:rsid w:val="7E28565C"/>
    <w:rsid w:val="7F670542"/>
    <w:rsid w:val="7FD26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1374</Words>
  <Characters>1538</Characters>
  <Lines>0</Lines>
  <Paragraphs>0</Paragraphs>
  <TotalTime>6</TotalTime>
  <ScaleCrop>false</ScaleCrop>
  <LinksUpToDate>false</LinksUpToDate>
  <CharactersWithSpaces>1546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2024-10-14T00:09:00Z</dcterms:created>
  <dc:creator>Administrator</dc:creator>
  <cp:lastModifiedBy>任我行</cp:lastModifiedBy>
  <dcterms:modified xsi:type="dcterms:W3CDTF">2026-10-22T01:10:32Z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7C863AC7F9D04430814A0664F78E0000_12</vt:lpwstr>
  </property>
  <property fmtid="{D5CDD505-2E9C-101B-9397-08002B2CF9AE}" pid="4" name="KSOTemplateDocerSaveRecord">
    <vt:lpwstr>eyJoZGlkIjoiNmM2YjRjN2NlYWVmYWNjN2U4NzhhMTkxY2I4NDYzMzIiLCJ1c2VySWQiOiIzMzYwMTM0NTEifQ==</vt:lpwstr>
  </property>
</Properties>
</file>